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>
      <w:pPr>
        <w:pStyle w:val="ConsPlusNormal"/>
        <w:ind w:firstLine="540"/>
        <w:jc w:val="both"/>
        <w:outlineLvl w:val="0"/>
      </w:pPr>
    </w:p>
    <w:p>
      <w:pPr>
        <w:pStyle w:val="ConsPlusNormal"/>
        <w:jc w:val="right"/>
      </w:pPr>
      <w:r>
        <w:t>Бесплатно подписаться на обзоры на сайте КонсультантПлюс</w:t>
      </w:r>
    </w:p>
    <w:p>
      <w:pPr>
        <w:pStyle w:val="ConsPlusNormal"/>
        <w:jc w:val="both"/>
      </w:pPr>
    </w:p>
    <w:p>
      <w:pPr>
        <w:pStyle w:val="ConsPlusTitle"/>
        <w:jc w:val="center"/>
      </w:pPr>
      <w:r>
        <w:t>ЭЛЕКТРОННЫЕ ТРУДОВЫЕ КНИЖКИ: ИНСТРУКЦИЯ ПО ПРИМЕНЕНИЮ</w:t>
      </w:r>
    </w:p>
    <w:p>
      <w:pPr>
        <w:pStyle w:val="ConsPlusNormal"/>
        <w:ind w:firstLine="540"/>
        <w:jc w:val="both"/>
      </w:pPr>
    </w:p>
    <w:p>
      <w:pPr>
        <w:pStyle w:val="ConsPlusNormal"/>
        <w:ind w:firstLine="540"/>
        <w:jc w:val="both"/>
      </w:pPr>
      <w:r>
        <w:t>Исключительные права на представленный материал принадлежат АО "Консультант Плюс".</w:t>
      </w:r>
    </w:p>
    <w:p>
      <w:pPr>
        <w:pStyle w:val="ConsPlusNormal"/>
        <w:spacing w:before="240"/>
        <w:ind w:firstLine="540"/>
        <w:jc w:val="both"/>
      </w:pPr>
      <w:r>
        <w:t>Материал подготовлен с использованием правовых актов по состоянию на 12.12.2019.</w:t>
      </w:r>
    </w:p>
    <w:p>
      <w:pPr>
        <w:pStyle w:val="ConsPlusNormal"/>
        <w:ind w:firstLine="540"/>
        <w:jc w:val="both"/>
      </w:pPr>
    </w:p>
    <w:p>
      <w:pPr>
        <w:pStyle w:val="ConsPlusNormal"/>
        <w:ind w:firstLine="540"/>
        <w:jc w:val="both"/>
      </w:pPr>
      <w:r>
        <w:t>С 2020 года появится цифровой формат трудовых книжек. Перевести сотрудника на электронную книжку можно будет только с его согласия. Тем, кто впервые устраивается на работу после 31 декабря 2020 года, бумажный документ заводить не придется. Подробности читайте в обзоре.</w:t>
      </w:r>
    </w:p>
    <w:p>
      <w:pPr>
        <w:pStyle w:val="ConsPlusNormal"/>
        <w:ind w:firstLine="540"/>
        <w:jc w:val="both"/>
      </w:pPr>
    </w:p>
    <w:p>
      <w:pPr>
        <w:pStyle w:val="ConsPlusTitle"/>
        <w:jc w:val="center"/>
        <w:outlineLvl w:val="0"/>
      </w:pPr>
      <w:r>
        <w:t>Как взаимодействовать с ПФР</w:t>
      </w:r>
    </w:p>
    <w:p>
      <w:pPr>
        <w:pStyle w:val="ConsPlusNormal"/>
        <w:ind w:firstLine="540"/>
        <w:jc w:val="both"/>
      </w:pPr>
    </w:p>
    <w:p>
      <w:pPr>
        <w:pStyle w:val="ConsPlusTitle"/>
        <w:ind w:firstLine="540"/>
        <w:jc w:val="both"/>
        <w:outlineLvl w:val="1"/>
      </w:pPr>
      <w:r>
        <w:t>Какие сведения передавать</w:t>
      </w:r>
    </w:p>
    <w:p>
      <w:pPr>
        <w:pStyle w:val="ConsPlusNormal"/>
        <w:spacing w:before="240"/>
        <w:ind w:firstLine="540"/>
        <w:jc w:val="both"/>
      </w:pPr>
      <w:r>
        <w:t>Работодатели должны будут сообщать в Пенсионный фонд данные о трудовой деятельности работников. ПФР будет хранить почти всю информацию, которую сейчас вносят в трудовую книжку. Исключение - записи о поощрениях и образовании.</w:t>
      </w:r>
    </w:p>
    <w:p>
      <w:pPr>
        <w:pStyle w:val="ConsPlusNormal"/>
        <w:spacing w:before="240"/>
        <w:ind w:firstLine="540"/>
        <w:jc w:val="both"/>
      </w:pPr>
      <w:r>
        <w:t xml:space="preserve">Направлять данные в Фонд нужно будет </w:t>
      </w:r>
      <w:hyperlink r:id="rId6" w:history="1">
        <w:r>
          <w:rPr>
            <w:color w:val="0000FF"/>
          </w:rPr>
          <w:t>в случае</w:t>
        </w:r>
      </w:hyperlink>
      <w:r>
        <w:t>:</w:t>
      </w:r>
    </w:p>
    <w:p>
      <w:pPr>
        <w:pStyle w:val="ConsPlusNormal"/>
        <w:spacing w:before="240"/>
        <w:ind w:firstLine="540"/>
        <w:jc w:val="both"/>
      </w:pPr>
      <w:r>
        <w:t>- приема сотрудника;</w:t>
      </w:r>
    </w:p>
    <w:p>
      <w:pPr>
        <w:pStyle w:val="ConsPlusNormal"/>
        <w:spacing w:before="240"/>
        <w:ind w:firstLine="540"/>
        <w:jc w:val="both"/>
      </w:pPr>
      <w:r>
        <w:t>- постоянного перевода;</w:t>
      </w:r>
    </w:p>
    <w:p>
      <w:pPr>
        <w:pStyle w:val="ConsPlusNormal"/>
        <w:spacing w:before="240"/>
        <w:ind w:firstLine="540"/>
        <w:jc w:val="both"/>
      </w:pPr>
      <w:r>
        <w:t>- увольнения;</w:t>
      </w:r>
    </w:p>
    <w:p>
      <w:pPr>
        <w:pStyle w:val="ConsPlusNormal"/>
        <w:spacing w:before="240"/>
        <w:ind w:firstLine="540"/>
        <w:jc w:val="both"/>
      </w:pPr>
      <w:r>
        <w:t>- написания им заявления о выборе формата трудовой книжки.</w:t>
      </w:r>
    </w:p>
    <w:p>
      <w:pPr>
        <w:pStyle w:val="ConsPlusNormal"/>
        <w:spacing w:before="240"/>
        <w:ind w:firstLine="540"/>
        <w:jc w:val="both"/>
      </w:pPr>
      <w:r>
        <w:t xml:space="preserve">Возможно, подавать сведения также </w:t>
      </w:r>
      <w:hyperlink r:id="rId7" w:history="1">
        <w:r>
          <w:rPr>
            <w:color w:val="0000FF"/>
          </w:rPr>
          <w:t>придется</w:t>
        </w:r>
      </w:hyperlink>
      <w:r>
        <w:t xml:space="preserve"> при других кадровых изменениях, например, при получении работником новой квалификации.</w:t>
      </w:r>
    </w:p>
    <w:p>
      <w:pPr>
        <w:pStyle w:val="ConsPlusNormal"/>
        <w:ind w:firstLine="540"/>
        <w:jc w:val="both"/>
      </w:pPr>
    </w:p>
    <w:p>
      <w:pPr>
        <w:pStyle w:val="ConsPlusTitle"/>
        <w:ind w:firstLine="540"/>
        <w:jc w:val="both"/>
        <w:outlineLvl w:val="1"/>
      </w:pPr>
      <w:r>
        <w:t>Когда передавать сведения</w:t>
      </w:r>
    </w:p>
    <w:p>
      <w:pPr>
        <w:pStyle w:val="ConsPlusNormal"/>
        <w:spacing w:before="240"/>
        <w:ind w:firstLine="540"/>
        <w:jc w:val="both"/>
      </w:pPr>
      <w:hyperlink r:id="rId8" w:history="1">
        <w:r>
          <w:rPr>
            <w:b/>
            <w:color w:val="0000FF"/>
          </w:rPr>
          <w:t>В 2020 году</w:t>
        </w:r>
      </w:hyperlink>
      <w:r>
        <w:t xml:space="preserve"> направлять информацию нужно будет не позднее 15 числа месяца, следующего </w:t>
      </w:r>
      <w:proofErr w:type="gramStart"/>
      <w:r>
        <w:t>за</w:t>
      </w:r>
      <w:proofErr w:type="gramEnd"/>
      <w:r>
        <w:t xml:space="preserve"> отчетным.</w:t>
      </w:r>
    </w:p>
    <w:p>
      <w:pPr>
        <w:pStyle w:val="ConsPlusNormal"/>
        <w:spacing w:before="240"/>
        <w:ind w:firstLine="540"/>
        <w:jc w:val="both"/>
      </w:pPr>
      <w:r>
        <w:t>При подаче сведений в первый раз их придется дополнить данными о трудовой деятельности работника в организации на 1 января 2020 года.</w:t>
      </w:r>
    </w:p>
    <w:p>
      <w:pPr>
        <w:pStyle w:val="ConsPlusNormal"/>
        <w:spacing w:before="240"/>
        <w:ind w:firstLine="540"/>
        <w:jc w:val="both"/>
      </w:pPr>
      <w:r>
        <w:t xml:space="preserve">Обратите внимание: если к 1 января 2021 года не появится повод подать сведения, нужно будет </w:t>
      </w:r>
      <w:hyperlink r:id="rId9" w:history="1">
        <w:r>
          <w:rPr>
            <w:b/>
            <w:color w:val="0000FF"/>
          </w:rPr>
          <w:t>не позднее 15 февраля 2021 года</w:t>
        </w:r>
      </w:hyperlink>
      <w:r>
        <w:t xml:space="preserve"> сообщить в ПФР о деятельности работника в организации. То есть к этому моменту у фонда должны быть сведения обо всех сотрудниках. За год может быть мало случаев их "передвижения", поэтому, возможно, вам придется сообщать о большом количестве работников в феврале. Чтобы избежать большой нагрузки в начале 2021 года, лучше передать все сведения в течение 2020 года.</w:t>
      </w:r>
    </w:p>
    <w:p>
      <w:pPr>
        <w:pStyle w:val="ConsPlusNormal"/>
        <w:spacing w:before="240"/>
        <w:ind w:firstLine="540"/>
        <w:jc w:val="both"/>
      </w:pPr>
      <w:hyperlink r:id="rId10" w:history="1">
        <w:r>
          <w:rPr>
            <w:b/>
            <w:color w:val="0000FF"/>
          </w:rPr>
          <w:t>С 2021 года</w:t>
        </w:r>
      </w:hyperlink>
      <w:r>
        <w:t xml:space="preserve"> уведомлять о приеме и увольнении работника понадобится не позднее следующего рабочего дня после издания приказа.</w:t>
      </w:r>
    </w:p>
    <w:p>
      <w:pPr>
        <w:pStyle w:val="ConsPlusNormal"/>
        <w:ind w:firstLine="540"/>
        <w:jc w:val="both"/>
      </w:pPr>
    </w:p>
    <w:p>
      <w:pPr>
        <w:pStyle w:val="ConsPlusTitle"/>
        <w:ind w:firstLine="540"/>
        <w:jc w:val="both"/>
        <w:outlineLvl w:val="1"/>
      </w:pPr>
      <w:r>
        <w:t>Как сообщать информацию</w:t>
      </w:r>
    </w:p>
    <w:p>
      <w:pPr>
        <w:pStyle w:val="ConsPlusNormal"/>
        <w:spacing w:before="240"/>
        <w:ind w:firstLine="540"/>
        <w:jc w:val="both"/>
      </w:pPr>
      <w:r>
        <w:t xml:space="preserve">Сведения нужно будет подавать по форме </w:t>
      </w:r>
      <w:hyperlink r:id="rId11" w:history="1">
        <w:r>
          <w:rPr>
            <w:color w:val="0000FF"/>
          </w:rPr>
          <w:t>СЗВ-ТД</w:t>
        </w:r>
      </w:hyperlink>
      <w:r>
        <w:t xml:space="preserve">. Проект формы проходит общественное обсуждение. Как ее заполнить, читайте в </w:t>
      </w:r>
      <w:hyperlink r:id="rId12" w:history="1">
        <w:r>
          <w:rPr>
            <w:color w:val="0000FF"/>
          </w:rPr>
          <w:t>обзоре</w:t>
        </w:r>
      </w:hyperlink>
      <w:r>
        <w:t>.</w:t>
      </w:r>
    </w:p>
    <w:p>
      <w:pPr>
        <w:pStyle w:val="ConsPlusNormal"/>
        <w:spacing w:before="240"/>
        <w:ind w:firstLine="540"/>
        <w:jc w:val="both"/>
      </w:pPr>
      <w:hyperlink r:id="rId13" w:history="1">
        <w:r>
          <w:rPr>
            <w:color w:val="0000FF"/>
          </w:rPr>
          <w:t>Формировать</w:t>
        </w:r>
      </w:hyperlink>
      <w:r>
        <w:t xml:space="preserve"> данные о сотрудниках работодатели смогут одним из способов:</w:t>
      </w:r>
    </w:p>
    <w:p>
      <w:pPr>
        <w:pStyle w:val="ConsPlusNormal"/>
        <w:spacing w:before="240"/>
        <w:ind w:firstLine="540"/>
        <w:jc w:val="both"/>
      </w:pPr>
      <w:r>
        <w:t>- с помощью своих программно-технических средств;</w:t>
      </w:r>
    </w:p>
    <w:p>
      <w:pPr>
        <w:pStyle w:val="ConsPlusNormal"/>
        <w:spacing w:before="240"/>
        <w:ind w:firstLine="540"/>
        <w:jc w:val="both"/>
      </w:pPr>
      <w:r>
        <w:t>- с использованием электронного сервиса Пенсионного фонда.</w:t>
      </w:r>
    </w:p>
    <w:p>
      <w:pPr>
        <w:pStyle w:val="ConsPlusNormal"/>
        <w:spacing w:before="240"/>
        <w:ind w:firstLine="540"/>
        <w:jc w:val="both"/>
      </w:pPr>
      <w:r>
        <w:t xml:space="preserve">Направлять сведения будут аналогично другой отчетности в ПФР. Так, </w:t>
      </w:r>
      <w:hyperlink r:id="rId14" w:history="1">
        <w:r>
          <w:rPr>
            <w:color w:val="0000FF"/>
          </w:rPr>
          <w:t>представлять их</w:t>
        </w:r>
      </w:hyperlink>
      <w:r>
        <w:t xml:space="preserve"> потребуется в форме электронного документа с усиленной квалифицированной электронной подписью. Работодатели, у которых за прошедший месяц числилось меньше 25 сотрудников, смогут передавать информацию на бумаге.</w:t>
      </w:r>
    </w:p>
    <w:p>
      <w:pPr>
        <w:pStyle w:val="ConsPlusNormal"/>
        <w:ind w:firstLine="540"/>
        <w:jc w:val="both"/>
      </w:pPr>
    </w:p>
    <w:p>
      <w:pPr>
        <w:pStyle w:val="ConsPlusTitle"/>
        <w:jc w:val="center"/>
        <w:outlineLvl w:val="0"/>
      </w:pPr>
      <w:r>
        <w:t>Как взаимодействовать с работниками</w:t>
      </w:r>
    </w:p>
    <w:p>
      <w:pPr>
        <w:pStyle w:val="ConsPlusNormal"/>
        <w:ind w:firstLine="540"/>
        <w:jc w:val="both"/>
      </w:pPr>
    </w:p>
    <w:p>
      <w:pPr>
        <w:pStyle w:val="ConsPlusNormal"/>
        <w:ind w:firstLine="540"/>
        <w:jc w:val="both"/>
      </w:pPr>
      <w:r>
        <w:rPr>
          <w:b/>
        </w:rPr>
        <w:t>Не позднее 30 июня 2020 года</w:t>
      </w:r>
      <w:r>
        <w:t xml:space="preserve"> </w:t>
      </w:r>
      <w:hyperlink r:id="rId15" w:history="1">
        <w:r>
          <w:rPr>
            <w:color w:val="0000FF"/>
          </w:rPr>
          <w:t>нужно будет уведомить</w:t>
        </w:r>
      </w:hyperlink>
      <w:r>
        <w:t xml:space="preserve"> каждого сотрудника о возможности сделать выбор: использовать </w:t>
      </w:r>
      <w:proofErr w:type="gramStart"/>
      <w:r>
        <w:t>оба</w:t>
      </w:r>
      <w:proofErr w:type="gramEnd"/>
      <w:r>
        <w:t xml:space="preserve"> вида книжек или только электронный формат.</w:t>
      </w:r>
    </w:p>
    <w:p>
      <w:pPr>
        <w:pStyle w:val="ConsPlusNormal"/>
        <w:ind w:firstLine="540"/>
        <w:jc w:val="both"/>
      </w:pPr>
    </w:p>
    <w:p>
      <w:pPr>
        <w:pStyle w:val="ConsPlusTitle"/>
        <w:ind w:firstLine="540"/>
        <w:jc w:val="both"/>
        <w:outlineLvl w:val="1"/>
      </w:pPr>
      <w:r>
        <w:t>Работник выбрал электронную трудовую книжку</w:t>
      </w:r>
    </w:p>
    <w:p>
      <w:pPr>
        <w:pStyle w:val="ConsPlusNormal"/>
        <w:spacing w:before="240"/>
        <w:ind w:firstLine="540"/>
        <w:jc w:val="both"/>
      </w:pPr>
      <w:r>
        <w:t xml:space="preserve">Когда сотрудник подаст заявление о том, что выбирает электронный вариант сведений, ему </w:t>
      </w:r>
      <w:hyperlink r:id="rId16" w:history="1">
        <w:r>
          <w:rPr>
            <w:color w:val="0000FF"/>
          </w:rPr>
          <w:t>нужно будет выдать</w:t>
        </w:r>
      </w:hyperlink>
      <w:r>
        <w:t xml:space="preserve"> трудовую книжку на руки.</w:t>
      </w:r>
    </w:p>
    <w:p>
      <w:pPr>
        <w:pStyle w:val="ConsPlusNormal"/>
        <w:spacing w:before="240"/>
        <w:ind w:firstLine="540"/>
        <w:jc w:val="both"/>
      </w:pPr>
      <w:r>
        <w:t xml:space="preserve">С этого момента работодатель не будет отвечать за ее ведение и хранение. </w:t>
      </w:r>
      <w:hyperlink r:id="rId17" w:history="1">
        <w:r>
          <w:rPr>
            <w:color w:val="0000FF"/>
          </w:rPr>
          <w:t>Не придется делать выписку</w:t>
        </w:r>
      </w:hyperlink>
      <w:r>
        <w:t xml:space="preserve"> из трудовой книжки по просьбе работника.</w:t>
      </w:r>
    </w:p>
    <w:p>
      <w:pPr>
        <w:pStyle w:val="ConsPlusNormal"/>
        <w:spacing w:before="240"/>
        <w:ind w:firstLine="540"/>
        <w:jc w:val="both"/>
      </w:pPr>
      <w:r>
        <w:t xml:space="preserve">Сотрудникам, выбравшим цифровой формат, </w:t>
      </w:r>
      <w:hyperlink r:id="rId18" w:history="1">
        <w:r>
          <w:rPr>
            <w:color w:val="0000FF"/>
          </w:rPr>
          <w:t>нужно будет предоставлять</w:t>
        </w:r>
      </w:hyperlink>
      <w:r>
        <w:t xml:space="preserve"> сведения о трудовой деятельности в организации на бумажном носителе или в электронном виде:</w:t>
      </w:r>
    </w:p>
    <w:p>
      <w:pPr>
        <w:pStyle w:val="ConsPlusNormal"/>
        <w:spacing w:before="240"/>
        <w:ind w:firstLine="540"/>
        <w:jc w:val="both"/>
      </w:pPr>
      <w:r>
        <w:t>- в период работы - не позднее трех рабочих дней со дня обращения работника;</w:t>
      </w:r>
    </w:p>
    <w:p>
      <w:pPr>
        <w:pStyle w:val="ConsPlusNormal"/>
        <w:spacing w:before="240"/>
        <w:ind w:firstLine="540"/>
        <w:jc w:val="both"/>
      </w:pPr>
      <w:r>
        <w:t>- в день увольнения.</w:t>
      </w:r>
    </w:p>
    <w:p>
      <w:pPr>
        <w:pStyle w:val="ConsPlusNormal"/>
        <w:spacing w:before="240"/>
        <w:ind w:firstLine="540"/>
        <w:jc w:val="both"/>
      </w:pPr>
      <w:r>
        <w:t xml:space="preserve">Выдавать данные нужно будет по форме </w:t>
      </w:r>
      <w:hyperlink r:id="rId19" w:history="1">
        <w:r>
          <w:rPr>
            <w:color w:val="0000FF"/>
          </w:rPr>
          <w:t>СТД-Р</w:t>
        </w:r>
      </w:hyperlink>
      <w:r>
        <w:t xml:space="preserve">. Проект формы представлен на публичное обсуждение. Как ее заполнять, поможет разобраться </w:t>
      </w:r>
      <w:hyperlink r:id="rId20" w:history="1">
        <w:r>
          <w:rPr>
            <w:color w:val="0000FF"/>
          </w:rPr>
          <w:t>обзор</w:t>
        </w:r>
      </w:hyperlink>
      <w:r>
        <w:t>.</w:t>
      </w:r>
    </w:p>
    <w:p>
      <w:pPr>
        <w:pStyle w:val="ConsPlusNormal"/>
        <w:spacing w:before="240"/>
        <w:ind w:firstLine="540"/>
        <w:jc w:val="both"/>
      </w:pPr>
      <w:r>
        <w:t xml:space="preserve">Если работодатель не предоставит сотруднику сведения вовремя, он </w:t>
      </w:r>
      <w:hyperlink r:id="rId21" w:history="1">
        <w:r>
          <w:rPr>
            <w:color w:val="0000FF"/>
          </w:rPr>
          <w:t>будет нести такую же ответственность</w:t>
        </w:r>
      </w:hyperlink>
      <w:r>
        <w:t>, как за задержку выдачи трудовой книжки.</w:t>
      </w:r>
    </w:p>
    <w:p>
      <w:pPr>
        <w:pStyle w:val="ConsPlusNormal"/>
        <w:spacing w:before="240"/>
        <w:ind w:firstLine="540"/>
        <w:jc w:val="both"/>
      </w:pPr>
      <w:r>
        <w:t xml:space="preserve">Подробнее о том, как предоставлять работнику сведения о трудовой деятельности, читайте в </w:t>
      </w:r>
      <w:hyperlink r:id="rId22" w:history="1">
        <w:r>
          <w:rPr>
            <w:color w:val="0000FF"/>
          </w:rPr>
          <w:t>путеводителе по кадровым вопросам</w:t>
        </w:r>
      </w:hyperlink>
      <w:r>
        <w:t>.</w:t>
      </w:r>
    </w:p>
    <w:p>
      <w:pPr>
        <w:pStyle w:val="ConsPlusNormal"/>
        <w:ind w:firstLine="540"/>
        <w:jc w:val="both"/>
      </w:pPr>
    </w:p>
    <w:p>
      <w:pPr>
        <w:pStyle w:val="ConsPlusTitle"/>
        <w:ind w:firstLine="540"/>
        <w:jc w:val="both"/>
        <w:outlineLvl w:val="1"/>
      </w:pPr>
      <w:r>
        <w:t>Работник выбрал бумажную книжку или промолчал</w:t>
      </w:r>
    </w:p>
    <w:p>
      <w:pPr>
        <w:pStyle w:val="ConsPlusNormal"/>
        <w:spacing w:before="240"/>
        <w:ind w:firstLine="540"/>
        <w:jc w:val="both"/>
      </w:pPr>
      <w:r>
        <w:t xml:space="preserve">Сотрудники будут решать вопрос о формате данных </w:t>
      </w:r>
      <w:hyperlink r:id="rId23" w:history="1">
        <w:r>
          <w:rPr>
            <w:color w:val="0000FF"/>
          </w:rPr>
          <w:t>в течение 2020 года</w:t>
        </w:r>
      </w:hyperlink>
      <w:r>
        <w:t xml:space="preserve">. Если работник </w:t>
      </w:r>
      <w:proofErr w:type="gramStart"/>
      <w:r>
        <w:t>попросит</w:t>
      </w:r>
      <w:proofErr w:type="gramEnd"/>
      <w:r>
        <w:t xml:space="preserve"> сохранить бумажный вариант или не сообщит о выборе, придется делать двойную работу: вести трудовую книжку и передавать сведения в ПФР.</w:t>
      </w:r>
    </w:p>
    <w:p>
      <w:pPr>
        <w:pStyle w:val="ConsPlusNormal"/>
        <w:spacing w:before="240"/>
        <w:ind w:firstLine="540"/>
        <w:jc w:val="both"/>
      </w:pPr>
      <w:r>
        <w:lastRenderedPageBreak/>
        <w:t>Право на оба формата сохранится за работником, пока он не сделает выбор в пользу электронного варианта.</w:t>
      </w:r>
    </w:p>
    <w:p>
      <w:pPr>
        <w:pStyle w:val="ConsPlusNormal"/>
        <w:spacing w:before="240"/>
        <w:ind w:firstLine="540"/>
        <w:jc w:val="both"/>
      </w:pPr>
      <w:r>
        <w:t xml:space="preserve">Обратите внимание: при </w:t>
      </w:r>
      <w:proofErr w:type="gramStart"/>
      <w:r>
        <w:t>приеме</w:t>
      </w:r>
      <w:proofErr w:type="gramEnd"/>
      <w:r>
        <w:t xml:space="preserve"> сотрудники </w:t>
      </w:r>
      <w:hyperlink r:id="rId24" w:history="1">
        <w:r>
          <w:rPr>
            <w:color w:val="0000FF"/>
          </w:rPr>
          <w:t>смогут предъявлять</w:t>
        </w:r>
      </w:hyperlink>
      <w:r>
        <w:t xml:space="preserve"> сведения о трудовой деятельности. Нужно будет проверять, есть ли в документе отметка о том, что работник отказался от бумажной книжки. Если есть, достаточно будет подавать в ПФР сведения. Отметки нет - попросите работника предоставить книжку. Если он потерял ее или не может передать по другой причине, придется завести новую.</w:t>
      </w:r>
    </w:p>
    <w:p>
      <w:pPr>
        <w:pStyle w:val="ConsPlusNormal"/>
        <w:ind w:firstLine="540"/>
        <w:jc w:val="both"/>
      </w:pPr>
    </w:p>
    <w:p>
      <w:pPr>
        <w:pStyle w:val="ConsPlusTitle"/>
        <w:jc w:val="center"/>
        <w:outlineLvl w:val="0"/>
      </w:pPr>
      <w:r>
        <w:t>Какие еще планируются изменения</w:t>
      </w:r>
    </w:p>
    <w:p>
      <w:pPr>
        <w:pStyle w:val="ConsPlusNormal"/>
        <w:jc w:val="center"/>
      </w:pPr>
    </w:p>
    <w:p>
      <w:pPr>
        <w:pStyle w:val="ConsPlusNormal"/>
        <w:ind w:firstLine="540"/>
        <w:jc w:val="both"/>
      </w:pPr>
      <w:r>
        <w:t xml:space="preserve">Предлагают ввести административную ответственность для должностных лиц, которые два раза и более в течение года нарушат сроки подачи сведений или направят неполную или недостоверную информацию. За это будет грозить </w:t>
      </w:r>
      <w:hyperlink r:id="rId25" w:history="1">
        <w:r>
          <w:rPr>
            <w:color w:val="0000FF"/>
          </w:rPr>
          <w:t>предупреждение</w:t>
        </w:r>
      </w:hyperlink>
      <w:r>
        <w:t xml:space="preserve">. Депутаты приняли проект </w:t>
      </w:r>
      <w:hyperlink r:id="rId26" w:history="1">
        <w:r>
          <w:rPr>
            <w:color w:val="0000FF"/>
          </w:rPr>
          <w:t>в первом чтении</w:t>
        </w:r>
      </w:hyperlink>
      <w:r>
        <w:t>.</w:t>
      </w:r>
    </w:p>
    <w:p>
      <w:pPr>
        <w:pStyle w:val="ConsPlusNormal"/>
        <w:ind w:firstLine="540"/>
        <w:jc w:val="both"/>
      </w:pPr>
    </w:p>
    <w:p>
      <w:pPr>
        <w:pStyle w:val="ConsPlusNormal"/>
        <w:ind w:firstLine="540"/>
        <w:jc w:val="both"/>
      </w:pPr>
      <w:r>
        <w:rPr>
          <w:i/>
        </w:rPr>
        <w:t xml:space="preserve">Документы: Федеральный </w:t>
      </w:r>
      <w:hyperlink r:id="rId27" w:history="1">
        <w:r>
          <w:rPr>
            <w:i/>
            <w:color w:val="0000FF"/>
          </w:rPr>
          <w:t>закон</w:t>
        </w:r>
      </w:hyperlink>
      <w:r>
        <w:rPr>
          <w:i/>
        </w:rPr>
        <w:t xml:space="preserve"> от 16.12.2019 N 439-ФЗ</w:t>
      </w:r>
    </w:p>
    <w:p>
      <w:pPr>
        <w:pStyle w:val="ConsPlusNormal"/>
        <w:spacing w:before="240"/>
        <w:ind w:firstLine="540"/>
        <w:jc w:val="both"/>
      </w:pPr>
      <w:r>
        <w:rPr>
          <w:i/>
        </w:rPr>
        <w:t xml:space="preserve">Федеральный </w:t>
      </w:r>
      <w:hyperlink r:id="rId28" w:history="1">
        <w:r>
          <w:rPr>
            <w:i/>
            <w:color w:val="0000FF"/>
          </w:rPr>
          <w:t>закон</w:t>
        </w:r>
      </w:hyperlink>
      <w:r>
        <w:rPr>
          <w:i/>
        </w:rPr>
        <w:t xml:space="preserve"> от 16.12.2019 N 436-ФЗ</w:t>
      </w:r>
    </w:p>
    <w:p>
      <w:pPr>
        <w:pStyle w:val="ConsPlusNormal"/>
        <w:ind w:firstLine="540"/>
        <w:jc w:val="both"/>
      </w:pPr>
    </w:p>
    <w:p>
      <w:pPr>
        <w:pStyle w:val="ConsPlusNormal"/>
        <w:ind w:firstLine="540"/>
        <w:jc w:val="both"/>
      </w:pPr>
    </w:p>
    <w:p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>
      <w:bookmarkStart w:id="0" w:name="_GoBack"/>
      <w:bookmarkEnd w:id="0"/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</w:pPr>
    <w:rPr>
      <w:rFonts w:eastAsia="Times New Roman"/>
      <w:szCs w:val="20"/>
      <w:lang w:eastAsia="ru-RU"/>
    </w:rPr>
  </w:style>
  <w:style w:type="paragraph" w:customStyle="1" w:styleId="ConsPlusTitle">
    <w:name w:val="ConsPlusTitle"/>
    <w:pPr>
      <w:widowControl w:val="0"/>
      <w:autoSpaceDE w:val="0"/>
      <w:autoSpaceDN w:val="0"/>
      <w:spacing w:after="0" w:line="240" w:lineRule="auto"/>
    </w:pPr>
    <w:rPr>
      <w:rFonts w:eastAsia="Times New Roman"/>
      <w:b/>
      <w:szCs w:val="20"/>
      <w:lang w:eastAsia="ru-RU"/>
    </w:rPr>
  </w:style>
  <w:style w:type="paragraph" w:customStyle="1" w:styleId="ConsPlusTitlePage">
    <w:name w:val="ConsPlusTitlePag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</w:pPr>
    <w:rPr>
      <w:rFonts w:eastAsia="Times New Roman"/>
      <w:szCs w:val="20"/>
      <w:lang w:eastAsia="ru-RU"/>
    </w:rPr>
  </w:style>
  <w:style w:type="paragraph" w:customStyle="1" w:styleId="ConsPlusTitle">
    <w:name w:val="ConsPlusTitle"/>
    <w:pPr>
      <w:widowControl w:val="0"/>
      <w:autoSpaceDE w:val="0"/>
      <w:autoSpaceDN w:val="0"/>
      <w:spacing w:after="0" w:line="240" w:lineRule="auto"/>
    </w:pPr>
    <w:rPr>
      <w:rFonts w:eastAsia="Times New Roman"/>
      <w:b/>
      <w:szCs w:val="20"/>
      <w:lang w:eastAsia="ru-RU"/>
    </w:rPr>
  </w:style>
  <w:style w:type="paragraph" w:customStyle="1" w:styleId="ConsPlusTitlePage">
    <w:name w:val="ConsPlusTitlePag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3D51CBFB0886FE8C8B2BAB3E17F505CF02CC6D85BCBF7B1EE0C1EC9D33209AB7CF72ACFADB6081639EF88F9AB1E6DCCCA248E2C50889B96VCV5I" TargetMode="External"/><Relationship Id="rId13" Type="http://schemas.openxmlformats.org/officeDocument/2006/relationships/hyperlink" Target="consultantplus://offline/ref=13D51CBFB0886FE8C8B2BAB3E17F505CF02CC6D85BCBF7B1EE0C1EC9D33209AB7CF72ACFADB608173DEF88F9AB1E6DCCCA248E2C50889B96VCV5I" TargetMode="External"/><Relationship Id="rId18" Type="http://schemas.openxmlformats.org/officeDocument/2006/relationships/hyperlink" Target="consultantplus://offline/ref=13D51CBFB0886FE8C8B2BAB3E17F505CF02CC6D85CC2F7B1EE0C1EC9D33209AB7CF72ACFADB608113DEF88F9AB1E6DCCCA248E2C50889B96VCV5I" TargetMode="External"/><Relationship Id="rId26" Type="http://schemas.openxmlformats.org/officeDocument/2006/relationships/hyperlink" Target="consultantplus://offline/ref=13D51CBFB0886FE8C8B2A6A0FC06050FFE29CED35FC0FEECE40447C5D13506F46BF063C3ACB608123DE5D7FCBE0F35C3C032902D4F949994C7VFVEI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13D51CBFB0886FE8C8B2BAB3E17F505CF02CC6D85CC2F7B1EE0C1EC9D33209AB7CF72ACFADB608163FEF88F9AB1E6DCCCA248E2C50889B96VCV5I" TargetMode="External"/><Relationship Id="rId7" Type="http://schemas.openxmlformats.org/officeDocument/2006/relationships/hyperlink" Target="consultantplus://offline/ref=13D51CBFB0886FE8C8B2A6BCE605050FFE2DC5DC5FC6F7B1EE0C1EC9D33209AB7CF72ACFADB6081434EF88F9AB1E6DCCCA248E2C50889B96VCV5I" TargetMode="External"/><Relationship Id="rId12" Type="http://schemas.openxmlformats.org/officeDocument/2006/relationships/hyperlink" Target="consultantplus://offline/ref=13D51CBFB0886FE8C8B2BAB3E17F505CF02BC5DA5DC1F7B1EE0C1EC9D33209AB7CF72ACFADB6081239EF88F9AB1E6DCCCA248E2C50889B96VCV5I" TargetMode="External"/><Relationship Id="rId17" Type="http://schemas.openxmlformats.org/officeDocument/2006/relationships/hyperlink" Target="consultantplus://offline/ref=13D51CBFB0886FE8C8B2BAB3E17F505CF02CC6D85CC2F7B1EE0C1EC9D33209AB7CF72ACFADB608133EEF88F9AB1E6DCCCA248E2C50889B96VCV5I" TargetMode="External"/><Relationship Id="rId25" Type="http://schemas.openxmlformats.org/officeDocument/2006/relationships/hyperlink" Target="consultantplus://offline/ref=13D51CBFB0886FE8C8B2BAB3E17F505CF02BCFDE58C0F7B1EE0C1EC9D33209AB7CF72ACCACB1001968B598FDE24968D0C23B902F4E88V9VBI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13D51CBFB0886FE8C8B2BAB3E17F505CF02CC6D85CC2F7B1EE0C1EC9D33209AB7CF72ACFADB608173BEF88F9AB1E6DCCCA248E2C50889B96VCV5I" TargetMode="External"/><Relationship Id="rId20" Type="http://schemas.openxmlformats.org/officeDocument/2006/relationships/hyperlink" Target="consultantplus://offline/ref=13D51CBFB0886FE8C8B2BAB3E17F505CF02BC5DA5DC1F7B1EE0C1EC9D33209AB7CF72ACFADB608133DEF88F9AB1E6DCCCA248E2C50889B96VCV5I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3D51CBFB0886FE8C8B2BAB3E17F505CF02CC6D85BCBF7B1EE0C1EC9D33209AB7CF72ACFADB608163CEF88F9AB1E6DCCCA248E2C50889B96VCV5I" TargetMode="External"/><Relationship Id="rId11" Type="http://schemas.openxmlformats.org/officeDocument/2006/relationships/hyperlink" Target="consultantplus://offline/ref=13D51CBFB0886FE8C8B2A6BCE605050FFE2DC5DC5FC6F7B1EE0C1EC9D33209AB7CF72ACFADB6081335EF88F9AB1E6DCCCA248E2C50889B96VCV5I" TargetMode="External"/><Relationship Id="rId24" Type="http://schemas.openxmlformats.org/officeDocument/2006/relationships/hyperlink" Target="consultantplus://offline/ref=13D51CBFB0886FE8C8B2BAB3E17F505CF02CC6D85CC2F7B1EE0C1EC9D33209AB7CF72ACFADB608133BEF88F9AB1E6DCCCA248E2C50889B96VCV5I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13D51CBFB0886FE8C8B2BAB3E17F505CF02CC6D85CC2F7B1EE0C1EC9D33209AB7CF72ACFADB6081739EF88F9AB1E6DCCCA248E2C50889B96VCV5I" TargetMode="External"/><Relationship Id="rId23" Type="http://schemas.openxmlformats.org/officeDocument/2006/relationships/hyperlink" Target="consultantplus://offline/ref=13D51CBFB0886FE8C8B2BAB3E17F505CF02CC6D85CC2F7B1EE0C1EC9D33209AB7CF72ACFADB608173AEF88F9AB1E6DCCCA248E2C50889B96VCV5I" TargetMode="External"/><Relationship Id="rId28" Type="http://schemas.openxmlformats.org/officeDocument/2006/relationships/hyperlink" Target="consultantplus://offline/ref=13D51CBFB0886FE8C8B2BAB3E17F505CF02CC6D85BCBF7B1EE0C1EC9D33209AB6EF772C3AFBE16123DFADEA8EDV4VBI" TargetMode="External"/><Relationship Id="rId10" Type="http://schemas.openxmlformats.org/officeDocument/2006/relationships/hyperlink" Target="consultantplus://offline/ref=13D51CBFB0886FE8C8B2BAB3E17F505CF02CC6D85BCBF7B1EE0C1EC9D33209AB7CF72ACFADB608163BEF88F9AB1E6DCCCA248E2C50889B96VCV5I" TargetMode="External"/><Relationship Id="rId19" Type="http://schemas.openxmlformats.org/officeDocument/2006/relationships/hyperlink" Target="consultantplus://offline/ref=13D51CBFB0886FE8C8B2A6BCE605050FFE2DC2DB59C1F7B1EE0C1EC9D33209AB7CF72ACFADB608103DEF88F9AB1E6DCCCA248E2C50889B96VCV5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3D51CBFB0886FE8C8B2BAB3E17F505CF02CC6D85BCBF7B1EE0C1EC9D33209AB7CF72ACFADB608163AEF88F9AB1E6DCCCA248E2C50889B96VCV5I" TargetMode="External"/><Relationship Id="rId14" Type="http://schemas.openxmlformats.org/officeDocument/2006/relationships/hyperlink" Target="consultantplus://offline/ref=13D51CBFB0886FE8C8B2BAB3E17F505CF02CC6D85BCBF7B1EE0C1EC9D33209AB7CF72ACFADB608173CEF88F9AB1E6DCCCA248E2C50889B96VCV5I" TargetMode="External"/><Relationship Id="rId22" Type="http://schemas.openxmlformats.org/officeDocument/2006/relationships/hyperlink" Target="consultantplus://offline/ref=13D51CBFB0886FE8C8B2A6B9E07F505CF12BC5DA5395A0B3BF5910CCDB6241BB32B227CEADB3001968B598FDE24968D0C23B902F4E88V9VBI" TargetMode="External"/><Relationship Id="rId27" Type="http://schemas.openxmlformats.org/officeDocument/2006/relationships/hyperlink" Target="consultantplus://offline/ref=13D51CBFB0886FE8C8B2BAB3E17F505CF02CC6D85CC2F7B1EE0C1EC9D33209AB6EF772C3AFBE16123DFADEA8EDV4VBI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1306</Words>
  <Characters>7446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Жеребцова Ольга Николаевна</dc:creator>
  <cp:lastModifiedBy>Жеребцова Ольга Николаевна</cp:lastModifiedBy>
  <cp:revision>1</cp:revision>
  <dcterms:created xsi:type="dcterms:W3CDTF">2020-01-28T08:21:00Z</dcterms:created>
  <dcterms:modified xsi:type="dcterms:W3CDTF">2020-01-28T08:21:00Z</dcterms:modified>
</cp:coreProperties>
</file>